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ab"/>
        <w:tblW w:w="5245" w:type="dxa"/>
        <w:tblInd w:w="963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5"/>
      </w:tblGrid>
      <w:tr>
        <w:trPr/>
        <w:tc>
          <w:tcPr>
            <w:tcW w:w="524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Normal"/>
              <w:widowControl w:val="false"/>
              <w:spacing w:after="0"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 w:bidi="ar-SA"/>
              </w:rPr>
              <w:t xml:space="preserve">Приложение № 5</w:t>
            </w:r>
          </w:p>
          <w:p>
            <w:pPr>
              <w:pStyle w:val="Normal"/>
              <w:widowControl w:val="false"/>
              <w:spacing w:after="0" w:before="0"/>
              <w:jc w:val="both"/>
              <w:rPr>
                <w:b/>
                <w:bCs/>
              </w:rPr>
            </w:pPr>
            <w:r>
              <w:rPr>
                <w:sz w:val="16"/>
                <w:szCs w:val="16"/>
                <w:lang w:val="ru-RU" w:bidi="ar-SA"/>
              </w:rPr>
              <w:t xml:space="preserve">к Инструкции о порядке формирования и расходования денежных средств избирательных фондов кандидатов, избирательных объединений, выдвинувших списки кандидатов, при проведении  выборов депутатов Государственного Совета Республики Татарстан 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ПОСТУПЛЕНИИ И РАСХОДОВАНИИ СРЕДСТВ ИЗБИРАТЕЛЬНЫХ ФОНДОВ КАНДИДАТОВ,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подлежащих размещению в информационно-телекоммуникационной сети «Интернет»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 основании данных, представленных филиалами ПАО «Сбербанк России» </w:t>
      </w:r>
      <w:r>
        <w:rPr>
          <w:color w:val="000000" w:themeColor="text1"/>
          <w:sz w:val="28"/>
          <w:szCs w:val="28"/>
        </w:rPr>
        <w:t xml:space="preserve">(другой кредитной организацией)</w:t>
      </w:r>
      <w:r>
        <w:rPr>
          <w:sz w:val="28"/>
          <w:szCs w:val="28"/>
        </w:rPr>
        <w:t xml:space="preserve">)</w:t>
      </w:r>
    </w:p>
    <w:p>
      <w:pPr>
        <w:pStyle w:val="NoSpacing"/>
        <w:jc w:val="right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по состоянию на «16» августа 2024г.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120" w:type="dxa"/>
        <w:jc w:val="center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000" w:firstRow="0" w:lastRow="0" w:firstColumn="0" w:lastColumn="0" w:noHBand="0" w:noVBand="0"/>
      </w:tblPr>
      <w:tblGrid>
        <w:gridCol w:w="536"/>
        <w:gridCol w:w="2704"/>
        <w:gridCol w:w="719"/>
        <w:gridCol w:w="900"/>
        <w:gridCol w:w="1621"/>
        <w:gridCol w:w="1080"/>
        <w:gridCol w:w="1079"/>
        <w:gridCol w:w="720"/>
        <w:gridCol w:w="1261"/>
        <w:gridCol w:w="1079"/>
        <w:gridCol w:w="1260"/>
        <w:gridCol w:w="901"/>
        <w:gridCol w:w="1259"/>
      </w:tblGrid>
      <w:tr>
        <w:trPr>
          <w:cantSplit/>
          <w:trHeight w:val="277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  <w:br/>
              <w:t xml:space="preserve">п/п</w:t>
            </w:r>
          </w:p>
        </w:tc>
        <w:tc>
          <w:tcPr>
            <w:tcW w:w="27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кандидата</w:t>
            </w:r>
          </w:p>
        </w:tc>
        <w:tc>
          <w:tcPr>
            <w:tcW w:w="53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Поступило средств</w:t>
            </w:r>
          </w:p>
        </w:tc>
        <w:tc>
          <w:tcPr>
            <w:tcW w:w="30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Израсходовано   средств</w:t>
            </w:r>
          </w:p>
        </w:tc>
        <w:tc>
          <w:tcPr>
            <w:tcW w:w="342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Возвращено средств</w:t>
            </w:r>
          </w:p>
        </w:tc>
      </w:tr>
      <w:tr>
        <w:trPr>
          <w:cantSplit/>
          <w:trHeight w:val="240"/>
        </w:trPr>
        <w:tc>
          <w:tcPr>
            <w:tcW w:w="53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70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Всего, тыс. руб.</w:t>
            </w:r>
          </w:p>
        </w:tc>
        <w:tc>
          <w:tcPr>
            <w:tcW w:w="46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</w:t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Всего, тыс. руб.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финансовые операции по расходованию средств на сумму, превышающую </w:t>
              <w:br/>
              <w:t xml:space="preserve">50 тыс. руб.</w:t>
            </w: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</w:t>
              <w:br/>
              <w:t xml:space="preserve">жертвователя</w:t>
            </w:r>
          </w:p>
        </w:tc>
        <w:tc>
          <w:tcPr>
            <w:tcW w:w="9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сумма,</w:t>
              <w:br/>
              <w:t xml:space="preserve">тыс. руб.</w:t>
            </w:r>
          </w:p>
        </w:tc>
        <w:tc>
          <w:tcPr>
            <w:tcW w:w="12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основание</w:t>
              <w:br/>
              <w:t xml:space="preserve">возврата</w:t>
            </w:r>
          </w:p>
        </w:tc>
      </w:tr>
      <w:tr>
        <w:trPr>
          <w:cantSplit/>
          <w:trHeight w:val="532"/>
        </w:trPr>
        <w:tc>
          <w:tcPr>
            <w:tcW w:w="536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70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5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юридических лиц, внесших </w:t>
              <w:br/>
              <w:t xml:space="preserve">пожертвования в сумме,   </w:t>
              <w:br/>
              <w:t xml:space="preserve">превышающей 25 тыс. руб.</w:t>
            </w:r>
          </w:p>
        </w:tc>
        <w:tc>
          <w:tcPr>
            <w:tcW w:w="2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граждан, внесших    </w:t>
              <w:br/>
              <w:t xml:space="preserve">пожертвования в сумме,   </w:t>
              <w:br/>
              <w:t xml:space="preserve">превышающей 20 тыс. руб.</w:t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340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01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59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cantSplit/>
          <w:trHeight w:val="332"/>
        </w:trPr>
        <w:tc>
          <w:tcPr>
            <w:tcW w:w="5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27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71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сумма,</w:t>
              <w:br/>
              <w:t xml:space="preserve">тыс. руб.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</w:t>
              <w:br/>
              <w:t xml:space="preserve">юридического лица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сумма,</w:t>
              <w:br/>
              <w:t xml:space="preserve">тыс. руб.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  <w:br/>
              <w:t xml:space="preserve">граждан</w:t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 снятия</w:t>
              <w:br/>
              <w:t xml:space="preserve">со спец. счета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сумма,</w:t>
              <w:br/>
              <w:t xml:space="preserve">тыс. руб.</w:t>
            </w:r>
          </w:p>
        </w:tc>
        <w:tc>
          <w:tcPr>
            <w:tcW w:w="126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90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25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</w:p>
        </w:tc>
      </w:tr>
      <w:tr>
        <w:trPr>
          <w:trHeight w:val="240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</w:p>
        </w:tc>
        <w:tc>
          <w:tcPr>
            <w:tcW w:w="27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Галеев Эдуард Геннадьевич 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1 800,00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1800,00</w:t>
            </w:r>
          </w:p>
        </w:tc>
        <w:tc>
          <w:tcPr>
            <w:tcW w:w="16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Таиф-НК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432,36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31.07.2024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76,8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31.07.2024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112,105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31.07.2024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112,105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12.08.2024</w:t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131,35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Махьянов Айвар Архамович 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Исрафилов Линар Рафисович 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Ягудин Альберт Ахметвагизович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Белоусов Андрей Вениаминович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</w:p>
        </w:tc>
        <w:tc>
          <w:tcPr>
            <w:tcW w:w="27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Илшат Илгизович 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</w:p>
        </w:tc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</w:t>
            </w:r>
          </w:p>
        </w:tc>
        <w:tc>
          <w:tcPr>
            <w:tcW w:w="16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«ТАГРАС-ТРАНССЕРВИС»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633,12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12.08.2024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56,7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13.08.2024</w:t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195,36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13.08.2024</w:t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241,06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14.08.2024</w:t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70,0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14.08.2024</w:t>
            </w:r>
          </w:p>
        </w:tc>
        <w:tc>
          <w:tcPr>
            <w:tcW w:w="107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70,0</w:t>
            </w:r>
          </w:p>
        </w:tc>
        <w:tc>
          <w:tcPr>
            <w:tcW w:w="126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Фазлеев Ильдус Наилевич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Хузиев Булат Газинурович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Юдинцев Вячеслав Олегович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Фатхутдинов Фаргат Равилович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</w:p>
        </w:tc>
        <w:tc>
          <w:tcPr>
            <w:tcW w:w="27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Фаляхов Марат Инилович 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380,00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29.07.2024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120,00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0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31.07.2024</w:t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260,00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Таротин Святослав Витальевич 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Бондарь Эдуард Викторович</w:t>
            </w:r>
          </w:p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40"/>
        </w:trPr>
        <w:tc>
          <w:tcPr>
            <w:tcW w:w="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Ахметгалиев Айрат Фанисович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</w:p>
        </w:tc>
      </w:tr>
      <w:tr>
        <w:trPr>
          <w:cantSplit/>
          <w:trHeight w:val="240"/>
        </w:trPr>
        <w:tc>
          <w:tcPr>
            <w:tcW w:w="3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Итого: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3915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3070</w:t>
            </w:r>
          </w:p>
        </w:tc>
        <w:tc>
          <w:tcPr>
            <w:tcW w:w="1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681,01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ConsNormal"/>
        <w:widowControl w:val="true"/>
        <w:ind w:firstLine="0"/>
        <w:rPr/>
      </w:pPr>
      <w:r/>
    </w:p>
    <w:p>
      <w:pPr>
        <w:pStyle w:val="Style27"/>
        <w:tabs>
          <w:tab w:val="clear" w:pos="4677"/>
          <w:tab w:val="clear" w:pos="9355"/>
        </w:tabs>
        <w:rPr/>
      </w:pPr>
      <w:r/>
    </w:p>
    <w:tbl>
      <w:tblPr>
        <w:tblW w:w="1396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353"/>
        <w:gridCol w:w="566"/>
        <w:gridCol w:w="2695"/>
        <w:gridCol w:w="282"/>
        <w:gridCol w:w="1984"/>
        <w:gridCol w:w="285"/>
        <w:gridCol w:w="2796"/>
      </w:tblGrid>
      <w:tr>
        <w:trPr>
          <w:trHeight w:val="443"/>
        </w:trPr>
        <w:tc>
          <w:tcPr>
            <w:tcW w:w="5353" w:type="dxa"/>
            <w:tcBorders/>
          </w:tcPr>
          <w:p>
            <w:pPr>
              <w:pStyle w:val="ConsNormal"/>
              <w:widowControl w:val="false"/>
              <w:ind w:firstLine="0"/>
              <w:jc w:val="center"/>
              <w:rPr/>
            </w:pPr>
            <w:r>
              <w:t xml:space="preserve">Председатель</w:t>
            </w:r>
          </w:p>
          <w:p>
            <w:pPr>
              <w:pStyle w:val="ConsNormal"/>
              <w:widowControl w:val="false"/>
              <w:ind w:firstLine="0"/>
              <w:jc w:val="center"/>
              <w:rPr>
                <w:sz w:val="24"/>
                <w:szCs w:val="24"/>
              </w:rPr>
            </w:pPr>
            <w:r>
              <w:t xml:space="preserve">территориальной избирательной комиссии города Нижнекамска Республики Татарстан</w:t>
            </w:r>
          </w:p>
        </w:tc>
        <w:tc>
          <w:tcPr>
            <w:tcW w:w="566" w:type="dxa"/>
            <w:tcBorders/>
          </w:tcPr>
          <w:p>
            <w:pPr>
              <w:pStyle w:val="ConsNormal"/>
              <w:widowControl w:val="false"/>
              <w:ind w:right="34" w:firstLine="720" w:left="-1242"/>
              <w:rPr/>
            </w:pPr>
            <w:r/>
          </w:p>
        </w:tc>
        <w:tc>
          <w:tcPr>
            <w:tcW w:w="2695" w:type="dxa"/>
            <w:tcBorders>
              <w:bottom w:val="single" w:color="000000" w:sz="4" w:space="0"/>
            </w:tcBorders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nsNormal"/>
              <w:widowControl w:val="false"/>
              <w:ind w:firstLine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2" w:type="dxa"/>
            <w:tcBorders/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bottom w:val="single" w:color="000000" w:sz="4" w:space="0"/>
            </w:tcBorders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5" w:type="dxa"/>
            <w:tcBorders/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96" w:type="dxa"/>
            <w:tcBorders>
              <w:bottom w:val="single" w:color="000000" w:sz="4" w:space="0"/>
            </w:tcBorders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А.И.Бликин</w:t>
            </w:r>
          </w:p>
        </w:tc>
      </w:tr>
      <w:tr>
        <w:trPr>
          <w:trHeight w:val="87"/>
        </w:trPr>
        <w:tc>
          <w:tcPr>
            <w:tcW w:w="5353" w:type="dxa"/>
            <w:tcBorders/>
          </w:tcPr>
          <w:p>
            <w:pPr>
              <w:pStyle w:val="ConsNormal"/>
              <w:widowControl w:val="false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66" w:type="dxa"/>
            <w:tcBorders/>
          </w:tcPr>
          <w:p>
            <w:pPr>
              <w:pStyle w:val="ConsNormal"/>
              <w:widowControl w:val="false"/>
              <w:ind w:firstLine="720" w:left="-817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</w:p>
        </w:tc>
        <w:tc>
          <w:tcPr>
            <w:tcW w:w="2695" w:type="dxa"/>
            <w:tcBorders>
              <w:top w:val="single" w:color="000000" w:sz="4" w:space="0"/>
            </w:tcBorders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2" w:type="dxa"/>
            <w:tcBorders/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single" w:color="000000" w:sz="4" w:space="0"/>
            </w:tcBorders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285" w:type="dxa"/>
            <w:tcBorders/>
          </w:tcPr>
          <w:p>
            <w:pPr>
              <w:pStyle w:val="Cons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796" w:type="dxa"/>
            <w:tcBorders>
              <w:top w:val="single" w:color="000000" w:sz="4" w:space="0"/>
            </w:tcBorders>
          </w:tcPr>
          <w:p>
            <w:pPr>
              <w:pStyle w:val="ConsNormal"/>
              <w:widowControl w:val="false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(инициалы, фамилия)</w:t>
            </w:r>
          </w:p>
        </w:tc>
      </w:tr>
    </w:tbl>
    <w:p>
      <w:pPr>
        <w:pStyle w:val="ConsPlusNonformat"/>
        <w:jc w:val="both"/>
        <w:rPr/>
      </w:pPr>
      <w:r/>
    </w:p>
    <w:p>
      <w:pPr>
        <w:pStyle w:val="Normal"/>
        <w:spacing w:after="200" w:before="0" w:line="276" w:lineRule="auto"/>
        <w:rPr/>
      </w:pPr>
      <w:r/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h="11906" w:orient="portrait" w:w="16838"/>
      <w:pgMar w:top="993" w:right="1134" w:bottom="993" w:left="1134" w:header="709" w:footer="709" w:gutter="0"/>
      <w:pgNumTyp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Normal"/>
      <w:rPr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927896747"/>
      <w:docPartObj>
        <w:docPartGallery w:val="Page Numbers (Bottom of Page)"/>
        <w:docPartUnique w:val="true"/>
      </w:docPartObj>
    </w:sdtPr>
    <w:sdtContent>
      <w:p>
        <w:pPr>
          <w:pStyle w:val="Style24"/>
          <w:jc w:val="right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Normal"/>
      <w:rPr/>
    </w:pP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596090505"/>
      <w:docPartObj>
        <w:docPartGallery w:val="Page Numbers (Bottom of Page)"/>
        <w:docPartUnique w:val="true"/>
      </w:docPartObj>
    </w:sdtPr>
    <w:sdtContent>
      <w:p>
        <w:pPr>
          <w:pStyle w:val="Style24"/>
          <w:jc w:val="right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Normal"/>
      <w:rPr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alloonText"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alloonText"/>
      <w:rPr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BalloonText"/>
      <w:rPr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true"/>
      <w:spacing w:after="0" w:before="0" w:line="240" w:lineRule="auto"/>
      <w:jc w:val="left"/>
    </w:pPr>
    <w:rPr>
      <w:rFonts w:ascii="Times New Roman" w:hAnsi="Times New Roman" w:cs="Times New Roman" w:eastAsiaTheme="minorEastAsia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keepNext w:val="true"/>
      <w:spacing w:after="60" w:before="240"/>
      <w:outlineLvl w:val="0"/>
    </w:pPr>
    <w:rPr>
      <w:rFonts w:ascii="Arial" w:hAnsi="Arial" w:eastAsia="Times New Roman" w:cs="Arial"/>
      <w:b/>
      <w:bCs/>
      <w:sz w:val="28"/>
      <w:szCs w:val="28"/>
    </w:rPr>
  </w:style>
  <w:style w:type="paragraph" w:styleId="2">
    <w:name w:val="Heading 2"/>
    <w:basedOn w:val="Normal"/>
    <w:next w:val="Normal"/>
    <w:link w:val="22"/>
    <w:uiPriority w:val="99"/>
    <w:qFormat/>
    <w:pPr>
      <w:keepNext w:val="true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Normal"/>
    <w:next w:val="Normal"/>
    <w:link w:val="32"/>
    <w:uiPriority w:val="99"/>
    <w:qFormat/>
    <w:pPr>
      <w:keepNext w:val="true"/>
      <w:jc w:val="center"/>
      <w:outlineLvl w:val="2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21" w:customStyle="1">
    <w:name w:val="Основной текст 2 Знак"/>
    <w:basedOn w:val="DefaultParagraphFont"/>
    <w:link w:val="BodyText2"/>
    <w:uiPriority w:val="99"/>
    <w:qFormat/>
    <w:rPr>
      <w:rFonts w:ascii="Times New Roman" w:hAnsi="Times New Roman" w:cs="Times New Roman" w:eastAsiaTheme="minorEastAsia"/>
      <w:sz w:val="24"/>
      <w:szCs w:val="24"/>
      <w:shd w:val="clear" w:fill="ffffff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 w:eastAsiaTheme="minorEastAsia"/>
      <w:sz w:val="16"/>
      <w:szCs w:val="16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Pr>
      <w:sz w:val="21"/>
      <w:szCs w:val="21"/>
      <w:lang w:eastAsia="ru-RU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Style14" w:customStyle="1">
    <w:name w:val="Текст сноски Знак"/>
    <w:basedOn w:val="DefaultParagraphFont"/>
    <w:uiPriority w:val="99"/>
    <w:qFormat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Style15">
    <w:name w:val="Символ сноски"/>
    <w:uiPriority w:val="99"/>
    <w:qFormat/>
    <w:rPr>
      <w:rFonts w:cs="Times New Roman"/>
      <w:sz w:val="22"/>
      <w:szCs w:val="22"/>
      <w:vertAlign w:val="superscript"/>
    </w:rPr>
  </w:style>
  <w:style w:type="character" w:styleId="Style16">
    <w:name w:val="Footnote Reference"/>
    <w:rPr>
      <w:rFonts w:cs="Times New Roman"/>
      <w:sz w:val="22"/>
      <w:szCs w:val="22"/>
      <w:vertAlign w:val="superscript"/>
    </w:rPr>
  </w:style>
  <w:style w:type="character" w:styleId="11" w:customStyle="1">
    <w:name w:val="Заголовок 1 Знак"/>
    <w:basedOn w:val="DefaultParagraphFont"/>
    <w:uiPriority w:val="99"/>
    <w:qFormat/>
    <w:rPr>
      <w:rFonts w:ascii="Arial" w:hAnsi="Arial" w:eastAsia="Times New Roman" w:cs="Arial"/>
      <w:b/>
      <w:bCs/>
      <w:sz w:val="28"/>
      <w:szCs w:val="28"/>
      <w:lang w:eastAsia="ru-RU"/>
    </w:rPr>
  </w:style>
  <w:style w:type="character" w:styleId="22" w:customStyle="1">
    <w:name w:val="Заголовок 2 Знак"/>
    <w:basedOn w:val="DefaultParagraphFont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yle17" w:customStyle="1">
    <w:name w:val="Верхний колонтитул Знак"/>
    <w:basedOn w:val="DefaultParagraphFont"/>
    <w:qFormat/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after="120" w:before="24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3"/>
    <w:uiPriority w:val="99"/>
    <w:semiHidden/>
    <w:unhideWhenUsed/>
    <w:pPr>
      <w:spacing w:after="120" w:before="0"/>
    </w:pPr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 w:val="true"/>
      <w:spacing w:after="120" w:before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 w:val="true"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pacing w:after="0" w:before="0" w:line="240" w:lineRule="auto"/>
      <w:ind w:firstLine="720"/>
      <w:jc w:val="left"/>
    </w:pPr>
    <w:rPr>
      <w:rFonts w:ascii="Arial" w:hAnsi="Arial" w:cs="Arial" w:eastAsiaTheme="minorEastAsia"/>
      <w:color w:val="auto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pacing w:after="0" w:before="0" w:line="240" w:lineRule="auto"/>
      <w:jc w:val="left"/>
    </w:pPr>
    <w:rPr>
      <w:rFonts w:ascii="Arial" w:hAnsi="Arial" w:cs="Arial" w:eastAsiaTheme="minorEastAsia"/>
      <w:b/>
      <w:bCs/>
      <w:color w:val="auto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1"/>
    <w:uiPriority w:val="99"/>
    <w:qFormat/>
    <w:pPr>
      <w:shd w:val="clear" w:color="auto" w:fill="ffffff"/>
      <w:jc w:val="center"/>
    </w:pPr>
  </w:style>
  <w:style w:type="paragraph" w:styleId="BodyTextIndent3">
    <w:name w:val="Body Text Indent 3"/>
    <w:basedOn w:val="Normal"/>
    <w:link w:val="31"/>
    <w:uiPriority w:val="99"/>
    <w:qFormat/>
    <w:pPr>
      <w:ind w:firstLine="540"/>
      <w:jc w:val="both"/>
    </w:pPr>
  </w:style>
  <w:style w:type="paragraph" w:styleId="ConsNormal" w:customStyle="1">
    <w:name w:val="ConsNormal"/>
    <w:uiPriority w:val="99"/>
    <w:qFormat/>
    <w:pPr>
      <w:widowControl w:val="false"/>
      <w:spacing w:after="0" w:before="0" w:line="240" w:lineRule="auto"/>
      <w:ind w:firstLine="720"/>
      <w:jc w:val="left"/>
    </w:pPr>
    <w:rPr>
      <w:rFonts w:ascii="Times New Roman" w:hAnsi="Times New Roman" w:eastAsia="Times New Roman" w:cs="Times New Roman"/>
      <w:color w:val="auto"/>
      <w:sz w:val="28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after="0" w:before="0"/>
      <w:ind w:firstLine="0" w:left="720"/>
      <w:contextualSpacing w:val="true"/>
    </w:pPr>
  </w:style>
  <w:style w:type="paragraph" w:styleId="BalloonText">
    <w:name w:val="Balloon Text"/>
    <w:basedOn w:val="Normal"/>
    <w:link w:val="Style11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23">
    <w:name w:val="Колонтитул"/>
    <w:basedOn w:val="Normal"/>
    <w:qFormat/>
    <w:pPr/>
  </w:style>
  <w:style w:type="paragraph" w:styleId="Style24">
    <w:name w:val="Footer"/>
    <w:basedOn w:val="Normal"/>
    <w:link w:val="Style12"/>
    <w:uiPriority w:val="99"/>
    <w:unhideWhenUsed/>
    <w:pPr>
      <w:tabs>
        <w:tab w:val="clear" w:pos="708"/>
        <w:tab w:val="center" w:leader="none" w:pos="4680"/>
        <w:tab w:val="right" w:leader="none" w:pos="9360"/>
      </w:tabs>
    </w:pPr>
    <w:rPr>
      <w:rFonts w:ascii="Calibri" w:hAnsi="Calibri" w:eastAsia="Calibri" w:asciiTheme="minorHAnsi" w:hAnsiTheme="minorHAnsi" w:eastAsiaTheme="minorHAnsi" w:cstheme="minorBidi"/>
      <w:sz w:val="21"/>
      <w:szCs w:val="21"/>
    </w:rPr>
  </w:style>
  <w:style w:type="paragraph" w:styleId="NoSpacing">
    <w:name w:val="No Spacing"/>
    <w:uiPriority w:val="1"/>
    <w:qFormat/>
    <w:pPr>
      <w:widowControl w:val="true"/>
      <w:spacing w:after="0" w:before="0" w:line="240" w:lineRule="auto"/>
      <w:jc w:val="left"/>
    </w:pPr>
    <w:rPr>
      <w:rFonts w:ascii="Times New Roman" w:hAnsi="Times New Roman" w:cs="Times New Roman" w:eastAsiaTheme="minorEastAsia"/>
      <w:color w:val="auto"/>
      <w:sz w:val="24"/>
      <w:szCs w:val="24"/>
      <w:lang w:val="ru-RU" w:eastAsia="ru-RU" w:bidi="ar-SA"/>
    </w:rPr>
  </w:style>
  <w:style w:type="paragraph" w:styleId="ConsNonformat" w:customStyle="1">
    <w:name w:val="ConsNonformat"/>
    <w:uiPriority w:val="99"/>
    <w:qFormat/>
    <w:pPr>
      <w:widowControl w:val="false"/>
      <w:spacing w:after="0" w:before="0" w:line="240" w:lineRule="auto"/>
      <w:jc w:val="left"/>
    </w:pPr>
    <w:rPr>
      <w:rFonts w:ascii="Courier New" w:hAnsi="Courier New" w:cs="Courier New" w:eastAsiaTheme="minorEastAsia"/>
      <w:color w:val="auto"/>
      <w:sz w:val="20"/>
      <w:szCs w:val="20"/>
      <w:lang w:val="ru-RU" w:eastAsia="ru-RU" w:bidi="ar-SA"/>
    </w:rPr>
  </w:style>
  <w:style w:type="paragraph" w:styleId="ConsCell" w:customStyle="1">
    <w:name w:val="ConsCell"/>
    <w:uiPriority w:val="99"/>
    <w:qFormat/>
    <w:pPr>
      <w:widowControl w:val="false"/>
      <w:spacing w:after="0" w:before="0" w:line="240" w:lineRule="auto"/>
      <w:jc w:val="left"/>
    </w:pPr>
    <w:rPr>
      <w:rFonts w:ascii="Times New Roman" w:hAnsi="Times New Roman" w:cs="Times New Roman" w:eastAsiaTheme="minorEastAsia"/>
      <w:color w:val="auto"/>
      <w:sz w:val="28"/>
      <w:szCs w:val="28"/>
      <w:lang w:val="ru-RU" w:eastAsia="ru-RU" w:bidi="ar-SA"/>
    </w:rPr>
  </w:style>
  <w:style w:type="paragraph" w:styleId="Style25">
    <w:name w:val="Footnote Text"/>
    <w:basedOn w:val="Normal"/>
    <w:link w:val="Style14"/>
    <w:uiPriority w:val="99"/>
    <w:pPr/>
    <w:rPr>
      <w:sz w:val="20"/>
      <w:szCs w:val="20"/>
    </w:rPr>
  </w:style>
  <w:style w:type="paragraph" w:styleId="Style26" w:customStyle="1">
    <w:name w:val="ТабличныйТекст"/>
    <w:basedOn w:val="Normal"/>
    <w:uiPriority w:val="99"/>
    <w:qFormat/>
    <w:pPr>
      <w:jc w:val="both"/>
    </w:pPr>
    <w:rPr>
      <w:rFonts w:eastAsia="Times New Roman"/>
      <w:sz w:val="20"/>
      <w:szCs w:val="20"/>
    </w:rPr>
  </w:style>
  <w:style w:type="paragraph" w:styleId="ConsPlusNonformat" w:customStyle="1">
    <w:name w:val="ConsPlusNonformat"/>
    <w:uiPriority w:val="99"/>
    <w:qFormat/>
    <w:pPr>
      <w:widowControl w:val="false"/>
      <w:spacing w:after="0" w:before="0" w:line="240" w:lineRule="auto"/>
      <w:jc w:val="left"/>
    </w:pPr>
    <w:rPr>
      <w:rFonts w:ascii="Courier New" w:hAnsi="Courier New" w:cs="Courier New" w:eastAsiaTheme="minorEastAsia"/>
      <w:color w:val="auto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spacing w:after="0" w:before="0" w:line="240" w:lineRule="auto"/>
      <w:jc w:val="left"/>
    </w:pPr>
    <w:rPr>
      <w:rFonts w:ascii="Arial" w:hAnsi="Arial" w:cs="Arial" w:eastAsiaTheme="minorEastAsia"/>
      <w:color w:val="auto"/>
      <w:sz w:val="20"/>
      <w:szCs w:val="20"/>
      <w:lang w:val="ru-RU" w:eastAsia="ru-RU" w:bidi="ar-SA"/>
    </w:rPr>
  </w:style>
  <w:style w:type="paragraph" w:styleId="Style27">
    <w:name w:val="Header"/>
    <w:basedOn w:val="Normal"/>
    <w:link w:val="Style17"/>
    <w:pPr>
      <w:tabs>
        <w:tab w:val="clear" w:pos="708"/>
        <w:tab w:val="center" w:leader="none" w:pos="4677"/>
        <w:tab w:val="right" w:leader="none" w:pos="9355"/>
      </w:tabs>
    </w:pPr>
  </w:style>
  <w:style w:type="numbering" w:styleId="NoList" w:default="1">
    <w:name w:val="No List"/>
    <w:uiPriority w:val="99"/>
    <w:semiHidden/>
    <w:unhideWhenUsed/>
    <w:qFormat/>
  </w:style>
  <w:style w:type="table" w:styleId="a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41D2-3FC1-41C8-89CC-406B8270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haracters>1754</Characters>
  <CharactersWithSpaces>1930</CharactersWithSpaces>
  <Pages>2</Pages>
  <Paragraphs>135</Paragraphs>
  <Template>Normal</Template>
  <TotalTime>13</TotalTime>
  <Words>286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lastModifiedBy/>
  <cp:revision>7</cp:revision>
  <cp:lastPrinted>2024-08-06T12:46:00Z</cp:lastPrinted>
  <dcterms:created xsi:type="dcterms:W3CDTF">2024-08-13T11:42:00Z</dcterms:created>
  <dcterms:modified xsi:type="dcterms:W3CDTF">2024-08-20T11:55:12Z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